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738D3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微软雅黑" w:hAnsi="微软雅黑" w:eastAsia="微软雅黑" w:cs="微软雅黑"/>
          <w:sz w:val="4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48"/>
        </w:rPr>
        <w:t>制造业内部物流20个关键管控点</w:t>
      </w:r>
    </w:p>
    <w:p w14:paraId="718E3682">
      <w:pPr>
        <w:pStyle w:val="2"/>
        <w:bidi w:val="0"/>
        <w:rPr>
          <w:rFonts w:hint="eastAsia"/>
          <w:sz w:val="40"/>
          <w:szCs w:val="40"/>
        </w:rPr>
      </w:pPr>
      <w:bookmarkStart w:id="0" w:name="_GoBack"/>
      <w:bookmarkEnd w:id="0"/>
      <w:r>
        <w:rPr>
          <w:rFonts w:hint="eastAsia"/>
          <w:sz w:val="40"/>
          <w:szCs w:val="40"/>
        </w:rPr>
        <w:t>一、 规划与布局</w:t>
      </w:r>
    </w:p>
    <w:p w14:paraId="7CB6268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1. 设施布局优化</w:t>
      </w:r>
    </w:p>
    <w:p w14:paraId="63A1CF7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依据产品工艺流程与物流动线进行车间布局设计，遵循“U型”或“直线型”原则，最大限度减少物料迂回、倒流及交叉运输，缩短搬运距离。</w:t>
      </w:r>
    </w:p>
    <w:p w14:paraId="3D8E2E5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2. 物流动线规划</w:t>
      </w:r>
    </w:p>
    <w:p w14:paraId="50E5108C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明确划分人流、物流通道，确保单向流动，避免交叉干扰；设置清晰的标识系统，保障叉车、AGV及人员通行安全与效率。</w:t>
      </w:r>
    </w:p>
    <w:p w14:paraId="1F0CA7F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3. 线边仓设计</w:t>
      </w:r>
    </w:p>
    <w:p w14:paraId="620B324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科学设定线边库位置与容量，采用“水蜘蛛”配送模式，确保物料在操作员伸手可及范围内，同时避免线边堆积过多造成空间浪费与安全隐患。</w:t>
      </w:r>
    </w:p>
    <w:p w14:paraId="05FB896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4. 仓储空间利用率</w:t>
      </w:r>
    </w:p>
    <w:p w14:paraId="2E40946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通过立体货架、窄巷道技术及ABC分类存储策略，提升垂直空间利用率；定期清理呆滞料，确保高周转物料处于黄金拣选区。</w:t>
      </w:r>
    </w:p>
    <w:p w14:paraId="65CE4F1B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二、 流程与执行</w:t>
      </w:r>
    </w:p>
    <w:p w14:paraId="1449364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5. 物料配送策略</w:t>
      </w:r>
    </w:p>
    <w:p w14:paraId="166A8EC6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根据物料消耗特性，灵活组合JIT（准时制）、JIS（顺序制）及看板拉动配送，平衡库存成本与停线风险，杜绝“大批量推送”造成的线边积压。</w:t>
      </w:r>
    </w:p>
    <w:p w14:paraId="2E8E504C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6. 容器标准化</w:t>
      </w:r>
    </w:p>
    <w:p w14:paraId="55E70EA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全面推行标准周转箱、托盘及料架，确保与自动化设备、货架及运输车辆的尺寸匹配，减少倒箱作业，提升单元化装载效率。</w:t>
      </w:r>
    </w:p>
    <w:p w14:paraId="749FD39C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7. 空容器回收</w:t>
      </w:r>
    </w:p>
    <w:p w14:paraId="471E399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建立闭环的空容器回收机制，规定回收频次、路径及责任方，防止因空箱短缺导致的配送中断或现场脏乱差。</w:t>
      </w:r>
    </w:p>
    <w:p w14:paraId="2BD17EB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8. 异常响应机制</w:t>
      </w:r>
    </w:p>
    <w:p w14:paraId="0ECDAD4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制定缺料、设备故障、质量异常等突发状况的物流应急预案，明确升级汇报流程与快速补货通道，将停线时间降至最低。</w:t>
      </w:r>
    </w:p>
    <w:p w14:paraId="2DE77FB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9. 装卸货效率</w:t>
      </w:r>
    </w:p>
    <w:p w14:paraId="44F41BC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优化月台调度与车辆排队系统，采用液压平台、自动滑升门等设施，缩短车辆在场停留时间，提升月台周转率。</w:t>
      </w:r>
    </w:p>
    <w:p w14:paraId="2786D312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三、 数字化与智能化</w:t>
      </w:r>
    </w:p>
    <w:p w14:paraId="2EB1A2C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10. 库存实时可视化</w:t>
      </w:r>
    </w:p>
    <w:p w14:paraId="77C0031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依托WMS（仓储管理系统）与RFID/条码技术，实现账实同步，确保库存准确率99.9%以上，为生产计划提供可信数据支撑。</w:t>
      </w:r>
    </w:p>
    <w:p w14:paraId="261B160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11. 自动化设备应用</w:t>
      </w:r>
    </w:p>
    <w:p w14:paraId="19A8281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在重复性高、劳动强度大或环境恶劣的环节引入AGV/AMR、堆垛机或自动分拣线，降低对人工的依赖，提升作业稳定性。</w:t>
      </w:r>
    </w:p>
    <w:p w14:paraId="2F62021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12. 系统集成能力</w:t>
      </w:r>
    </w:p>
    <w:p w14:paraId="7506173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打通ERP、MES、WMS及WCS系统接口，实现从订单下达到物料出库、产线消耗、成品入库的全链路数据自动流转，消除信息孤岛。</w:t>
      </w:r>
    </w:p>
    <w:p w14:paraId="31A53A0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13. 数据驱动决策</w:t>
      </w:r>
    </w:p>
    <w:p w14:paraId="6977362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利用BI工具分析物流KPI（如配送及时率、库存周转天数、人均搬运量），识别瓶颈环节，以数据指导持续改善而非凭经验拍脑袋。</w:t>
      </w:r>
    </w:p>
    <w:p w14:paraId="17FBDA41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四、 质量与安全</w:t>
      </w:r>
    </w:p>
    <w:p w14:paraId="39D917E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14. 物料防护管理</w:t>
      </w:r>
    </w:p>
    <w:p w14:paraId="425F0B1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针对精密件、易损件制定专项包装与搬运规范，落实防尘、防潮、防静电措施，严控物流过程中的磕碰划伤与混料风险。</w:t>
      </w:r>
    </w:p>
    <w:p w14:paraId="4B4A8F6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15. 先进先出管控</w:t>
      </w:r>
    </w:p>
    <w:p w14:paraId="4E7785B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严格执行FIFO原则，通过系统锁定批次或色标管理，防止物料过期变质，确保追溯体系的有效性。</w:t>
      </w:r>
    </w:p>
    <w:p w14:paraId="5E5C005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16. 现场5S管理</w:t>
      </w:r>
    </w:p>
    <w:p w14:paraId="2798FBC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保持物流通道畅通、地面无油污、物料定置摆放，消除绊倒、滑倒及叉车视线盲区等安全隐患，打造目视化现场。</w:t>
      </w:r>
    </w:p>
    <w:p w14:paraId="7B8B90D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17. 人员安全培训</w:t>
      </w:r>
    </w:p>
    <w:p w14:paraId="3CE782A7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定期对叉车工、配送员进行安全操作与防御性驾驶培训，落实“人车分流”与“限速规定”，严禁违章作业。</w:t>
      </w:r>
    </w:p>
    <w:p w14:paraId="3CD79CAC">
      <w:pPr>
        <w:pStyle w:val="2"/>
        <w:bidi w:val="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五、 成本与绩效</w:t>
      </w:r>
    </w:p>
    <w:p w14:paraId="77D9A1A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18. 物流成本核算</w:t>
      </w:r>
    </w:p>
    <w:p w14:paraId="558DDFB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建立精细化的内部物流成本模型，分摊设备折旧、人工、能耗及耗材成本，识别高成本环节，为外包或自动化投资提供ROI依据。</w:t>
      </w:r>
    </w:p>
    <w:p w14:paraId="54DB6FF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19. 绩效指标体系</w:t>
      </w:r>
    </w:p>
    <w:p w14:paraId="4E3FCFE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设定多维度的KPI考核，包括：配送准时率、库存准确率、单位产值物流费、设备OEE及安全事故率为0，并挂钩绩效激励。</w:t>
      </w:r>
    </w:p>
    <w:p w14:paraId="2DB30D2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8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8"/>
        </w:rPr>
        <w:t>20. 持续改善文化</w:t>
      </w:r>
    </w:p>
    <w:p w14:paraId="24363D5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建立物流改善提案制度，鼓励一线员工发现浪费（如等待、搬运、过度包装），定期开展活动，形成“小步快跑”的优化迭代机制。</w:t>
      </w: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70861">
    <w:pPr>
      <w:jc w:val="distribute"/>
    </w:pPr>
    <w:r>
      <w:rPr>
        <w:rFonts w:hint="eastAsia"/>
        <w:lang w:val="en-US" w:eastAsia="zh-CN"/>
      </w:rPr>
      <w:t>广东顺力智能物流装备股份有限公司         400-090-1058        www.gdsunli.com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E319">
    <w:pPr>
      <w:jc w:val="left"/>
      <w:rPr>
        <w:rFonts w:hint="default" w:eastAsia="宋体"/>
        <w:lang w:val="en-US" w:eastAsia="zh-CN"/>
      </w:rPr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4982845</wp:posOffset>
          </wp:positionH>
          <wp:positionV relativeFrom="paragraph">
            <wp:posOffset>-197485</wp:posOffset>
          </wp:positionV>
          <wp:extent cx="573405" cy="573405"/>
          <wp:effectExtent l="0" t="0" r="5715" b="5715"/>
          <wp:wrapNone/>
          <wp:docPr id="1" name="图片 1" descr="二维码：顺小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二维码：顺小力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广东顺力智能物流装备股份有限公司                                        扫码申请免费设计方案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B8F77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微软雅黑" w:cs="宋体"/>
      <w:b/>
      <w:bCs/>
      <w:kern w:val="44"/>
      <w:sz w:val="48"/>
      <w:szCs w:val="48"/>
      <w:lang w:bidi="ar"/>
    </w:rPr>
  </w:style>
  <w:style w:type="character" w:default="1" w:styleId="4">
    <w:name w:val="Default Paragraph Font"/>
    <w:semiHidden/>
    <w:uiPriority w:val="0"/>
    <w:rPr>
      <w:rFonts w:ascii="Times New Roman" w:hAnsi="Times New Roman" w:eastAsia="宋体"/>
      <w:sz w:val="21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1266</Words>
  <Characters>1350</Characters>
  <TotalTime>4</TotalTime>
  <ScaleCrop>false</ScaleCrop>
  <LinksUpToDate>false</LinksUpToDate>
  <CharactersWithSpaces>1375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2026-06-10T01:29:00Z</dcterms:created>
  <dc:creator>Apache POI</dc:creator>
  <cp:lastModifiedBy>钊平（Covey）</cp:lastModifiedBy>
  <dcterms:modified xsi:type="dcterms:W3CDTF">2026-10-27T02:44:10Z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8f4y2Xk/BrTqWCs4KiRu/zvy0p4ztRnRnYjO31sEB18=","ProduceID":"doc_sgs:11d82939-b7b8-42ed-a86f-80d23cd96262","ReservedCode2":"8f4y2Xk/BrTqWCs4KiRu/zvy0p4ztRnRnYjO31sEB18=","PropagateID":"doc_sgs:11d82939-b7b8-42ed-a86f-80d23cd96262","ContentProducer":"001191440101MA9Y9T4H7A00000"}</vt:lpwstr>
  </property>
  <property fmtid="{D5CDD505-2E9C-101B-9397-08002B2CF9AE}" pid="3" name="KSOTemplateDocerSaveRecord">
    <vt:lpwstr>eyJoZGlkIjoiZjc1ZWJlYzg5NDQwNWM4Y2E3Mzk1OTFkNWQ3MjQ2NGYiLCJ1c2VySWQiOiIzMzI4MzA0MTAifQ==</vt:lpwstr>
  </property>
  <property fmtid="{D5CDD505-2E9C-101B-9397-08002B2CF9AE}" pid="4" name="KSOProductBuildVer">
    <vt:lpwstr>2052-12.1.0.26936</vt:lpwstr>
  </property>
  <property fmtid="{D5CDD505-2E9C-101B-9397-08002B2CF9AE}" pid="5" name="ICV">
    <vt:lpwstr>CCACD854947F4812A2B560FB3A920A23_12</vt:lpwstr>
  </property>
</Properties>
</file>